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2F" w:rsidRDefault="00817C2F" w:rsidP="00817C2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悪徳商法に注意してください</w:t>
      </w:r>
    </w:p>
    <w:bookmarkEnd w:id="0"/>
    <w:p w:rsidR="00817C2F" w:rsidRDefault="00817C2F" w:rsidP="00817C2F">
      <w:pPr>
        <w:autoSpaceDE w:val="0"/>
        <w:autoSpaceDN w:val="0"/>
        <w:adjustRightInd w:val="0"/>
        <w:jc w:val="left"/>
        <w:rPr>
          <w:rFonts w:ascii="ArialBold" w:eastAsia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ArialBold" w:cs="ArialBold"/>
          <w:b/>
          <w:bCs/>
          <w:kern w:val="0"/>
          <w:szCs w:val="21"/>
        </w:rPr>
        <w:t>H</w:t>
      </w:r>
      <w:r>
        <w:rPr>
          <w:rFonts w:ascii="ArialBold" w:eastAsia="ArialBold" w:cs="ArialBold" w:hint="eastAsia"/>
          <w:b/>
          <w:bCs/>
          <w:kern w:val="0"/>
          <w:szCs w:val="21"/>
        </w:rPr>
        <w:t>ã</w:t>
      </w:r>
      <w:r>
        <w:rPr>
          <w:rFonts w:ascii="ArialBold" w:eastAsia="ArialBold" w:cs="ArialBold"/>
          <w:b/>
          <w:bCs/>
          <w:kern w:val="0"/>
          <w:szCs w:val="21"/>
        </w:rPr>
        <w:t>y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ArialBold" w:cs="ArialBold"/>
          <w:b/>
          <w:bCs/>
          <w:kern w:val="0"/>
          <w:szCs w:val="21"/>
        </w:rPr>
        <w:t>ch</w:t>
      </w:r>
      <w:r>
        <w:rPr>
          <w:rFonts w:ascii="ArialBold" w:eastAsia="ArialBold" w:cs="ArialBold" w:hint="eastAsia"/>
          <w:b/>
          <w:bCs/>
          <w:kern w:val="0"/>
          <w:szCs w:val="21"/>
        </w:rPr>
        <w:t>ú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r>
        <w:rPr>
          <w:rFonts w:ascii="ArialBold" w:eastAsia="ArialBold" w:cs="ArialBold" w:hint="eastAsia"/>
          <w:b/>
          <w:bCs/>
          <w:kern w:val="0"/>
          <w:szCs w:val="21"/>
        </w:rPr>
        <w:t>ý</w:t>
      </w:r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ArialBold" w:cs="ArialBold" w:hint="eastAsia"/>
          <w:b/>
          <w:bCs/>
          <w:kern w:val="0"/>
          <w:szCs w:val="21"/>
        </w:rPr>
        <w:t>đ</w:t>
      </w:r>
      <w:r>
        <w:rPr>
          <w:rFonts w:ascii="Cambria" w:eastAsia="ArialBold" w:hAnsi="Cambria" w:cs="Cambria"/>
          <w:b/>
          <w:bCs/>
          <w:kern w:val="0"/>
          <w:szCs w:val="21"/>
        </w:rPr>
        <w:t>ế</w:t>
      </w:r>
      <w:r>
        <w:rPr>
          <w:rFonts w:ascii="ArialBold" w:eastAsia="ArialBold" w:cs="ArialBold"/>
          <w:b/>
          <w:bCs/>
          <w:kern w:val="0"/>
          <w:szCs w:val="21"/>
        </w:rPr>
        <w:t>n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ArialBold" w:cs="ArialBold"/>
          <w:b/>
          <w:bCs/>
          <w:kern w:val="0"/>
          <w:szCs w:val="21"/>
        </w:rPr>
        <w:t>th</w:t>
      </w:r>
      <w:r>
        <w:rPr>
          <w:rFonts w:ascii="Cambria" w:eastAsia="ArialBold" w:hAnsi="Cambria" w:cs="Cambria"/>
          <w:b/>
          <w:bCs/>
          <w:kern w:val="0"/>
          <w:szCs w:val="21"/>
        </w:rPr>
        <w:t>ươ</w:t>
      </w:r>
      <w:r>
        <w:rPr>
          <w:rFonts w:ascii="ArialBold" w:eastAsia="ArialBold" w:cs="ArialBold"/>
          <w:b/>
          <w:bCs/>
          <w:kern w:val="0"/>
          <w:szCs w:val="21"/>
        </w:rPr>
        <w:t>ng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ArialBold" w:cs="ArialBold"/>
          <w:b/>
          <w:bCs/>
          <w:kern w:val="0"/>
          <w:szCs w:val="21"/>
        </w:rPr>
        <w:t>m</w:t>
      </w:r>
      <w:r>
        <w:rPr>
          <w:rFonts w:ascii="Cambria" w:eastAsia="ArialBold" w:hAnsi="Cambria" w:cs="Cambria"/>
          <w:b/>
          <w:bCs/>
          <w:kern w:val="0"/>
          <w:szCs w:val="21"/>
        </w:rPr>
        <w:t>ạ</w:t>
      </w:r>
      <w:r>
        <w:rPr>
          <w:rFonts w:ascii="ArialBold" w:eastAsia="ArialBold" w:cs="ArialBold"/>
          <w:b/>
          <w:bCs/>
          <w:kern w:val="0"/>
          <w:szCs w:val="21"/>
        </w:rPr>
        <w:t>i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phi </w:t>
      </w:r>
      <w:proofErr w:type="spellStart"/>
      <w:r>
        <w:rPr>
          <w:rFonts w:ascii="ArialBold" w:eastAsia="ArialBold" w:cs="ArialBold" w:hint="eastAsia"/>
          <w:b/>
          <w:bCs/>
          <w:kern w:val="0"/>
          <w:szCs w:val="21"/>
        </w:rPr>
        <w:t>đ</w:t>
      </w:r>
      <w:r>
        <w:rPr>
          <w:rFonts w:ascii="Cambria" w:eastAsia="ArialBold" w:hAnsi="Cambria" w:cs="Cambria"/>
          <w:b/>
          <w:bCs/>
          <w:kern w:val="0"/>
          <w:szCs w:val="21"/>
        </w:rPr>
        <w:t>ạ</w:t>
      </w:r>
      <w:r>
        <w:rPr>
          <w:rFonts w:ascii="ArialBold" w:eastAsia="ArialBold" w:cs="ArialBold"/>
          <w:b/>
          <w:bCs/>
          <w:kern w:val="0"/>
          <w:szCs w:val="21"/>
        </w:rPr>
        <w:t>o</w:t>
      </w:r>
      <w:proofErr w:type="spellEnd"/>
      <w:r>
        <w:rPr>
          <w:rFonts w:ascii="ArialBold" w:eastAsia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ArialBold" w:cs="ArialBold" w:hint="eastAsia"/>
          <w:b/>
          <w:bCs/>
          <w:kern w:val="0"/>
          <w:szCs w:val="21"/>
        </w:rPr>
        <w:t>đ</w:t>
      </w:r>
      <w:r>
        <w:rPr>
          <w:rFonts w:ascii="Cambria" w:eastAsia="ArialBold" w:hAnsi="Cambria" w:cs="Cambria"/>
          <w:b/>
          <w:bCs/>
          <w:kern w:val="0"/>
          <w:szCs w:val="21"/>
        </w:rPr>
        <w:t>ứ</w:t>
      </w:r>
      <w:r>
        <w:rPr>
          <w:rFonts w:ascii="ArialBold" w:eastAsia="ArialBold" w:cs="ArialBold"/>
          <w:b/>
          <w:bCs/>
          <w:kern w:val="0"/>
          <w:szCs w:val="21"/>
        </w:rPr>
        <w:t>c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trường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hợp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thường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sự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kiện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buôn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phi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đạo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lợi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dụng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vụ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lợi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dựng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ổn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hoặc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lương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của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vụ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này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hay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chỉ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hoạ</w:t>
      </w:r>
      <w:proofErr w:type="spellEnd"/>
      <w:r>
        <w:rPr>
          <w:rFonts w:ascii="Arial" w:eastAsia="ＭＳゴシック" w:hAnsi="Arial" w:cs="Arial"/>
          <w:kern w:val="0"/>
          <w:szCs w:val="21"/>
        </w:rPr>
        <w:t>,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mà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xung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quanh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thiệu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một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ví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dụ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điển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cẩn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ủng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Kẻ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vờ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một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tổ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tồn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“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chữ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thập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đỏ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Bản</w:t>
      </w:r>
      <w:proofErr w:type="spellEnd"/>
      <w:r>
        <w:rPr>
          <w:rFonts w:ascii="Arial" w:eastAsia="ＭＳゴシック" w:hAnsi="Arial" w:cs="Arial"/>
          <w:kern w:val="0"/>
          <w:szCs w:val="21"/>
        </w:rPr>
        <w:t>”,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ủng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chữa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Kẻ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nói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“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phải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chữa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lập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”, v...v,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kích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tâm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lắng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của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ép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cam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hợp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đồng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đắt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mặt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yếu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đáng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nói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“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này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nữa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”, v...v,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mặt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yếu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pin,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xăng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dầu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đắt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đỏ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+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Gỉa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vờ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nguyện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Kẻ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vờ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nguyện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nói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“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Tôi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giúp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?”, v...v,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yêu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cầu</w:t>
      </w:r>
      <w:proofErr w:type="spellEnd"/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trả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817C2F" w:rsidRDefault="00817C2F" w:rsidP="00817C2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ngờ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hay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lừa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ngay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quầy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vấn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tại</w:t>
      </w:r>
      <w:proofErr w:type="spellEnd"/>
    </w:p>
    <w:p w:rsidR="005C2535" w:rsidRDefault="00817C2F" w:rsidP="00817C2F">
      <w:proofErr w:type="spellStart"/>
      <w:r>
        <w:rPr>
          <w:rFonts w:ascii="Arial" w:eastAsia="ＭＳゴシック" w:hAnsi="Arial" w:cs="Arial"/>
          <w:kern w:val="0"/>
          <w:szCs w:val="21"/>
        </w:rPr>
        <w:t>làng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hoặc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lập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hệ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cảnh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sát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5C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F"/>
    <w:rsid w:val="005C2535"/>
    <w:rsid w:val="008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71C4D-A3D9-4B2D-97B0-FC4F712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2019-09-19T05:19:00Z</dcterms:created>
  <dcterms:modified xsi:type="dcterms:W3CDTF">2019-09-19T05:19:00Z</dcterms:modified>
</cp:coreProperties>
</file>